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F69E1" w14:textId="77777777" w:rsidR="00B740AD" w:rsidRPr="00A03F08" w:rsidRDefault="00B740AD" w:rsidP="00B740AD">
      <w:pPr>
        <w:rPr>
          <w:b/>
          <w:sz w:val="24"/>
          <w:szCs w:val="24"/>
        </w:rPr>
      </w:pPr>
      <w:r w:rsidRPr="00A03F08">
        <w:rPr>
          <w:b/>
          <w:sz w:val="24"/>
          <w:szCs w:val="24"/>
        </w:rPr>
        <w:t>ICB N.V.</w:t>
      </w:r>
      <w:r w:rsidRPr="00A03F08">
        <w:rPr>
          <w:b/>
          <w:sz w:val="24"/>
          <w:szCs w:val="24"/>
        </w:rPr>
        <w:br/>
        <w:t>Rooststr</w:t>
      </w:r>
      <w:r w:rsidR="009C3F0E">
        <w:rPr>
          <w:b/>
          <w:sz w:val="24"/>
          <w:szCs w:val="24"/>
        </w:rPr>
        <w:t>aat 5</w:t>
      </w:r>
      <w:r w:rsidR="009C3F0E">
        <w:rPr>
          <w:b/>
          <w:sz w:val="24"/>
          <w:szCs w:val="24"/>
        </w:rPr>
        <w:br/>
        <w:t>2431 Veerle-Laakdal</w:t>
      </w:r>
      <w:r w:rsidR="009C3F0E">
        <w:rPr>
          <w:b/>
          <w:sz w:val="24"/>
          <w:szCs w:val="24"/>
        </w:rPr>
        <w:br/>
        <w:t>Belgium</w:t>
      </w:r>
    </w:p>
    <w:p w14:paraId="6C7DB11B" w14:textId="77777777" w:rsidR="00FA5B80" w:rsidRPr="00B740AD" w:rsidRDefault="00FA5B80" w:rsidP="00B740AD">
      <w:pPr>
        <w:jc w:val="center"/>
        <w:rPr>
          <w:b/>
          <w:lang w:val="en-US"/>
        </w:rPr>
      </w:pPr>
      <w:r w:rsidRPr="00B740AD">
        <w:rPr>
          <w:b/>
          <w:sz w:val="52"/>
          <w:szCs w:val="52"/>
          <w:lang w:val="en-US"/>
        </w:rPr>
        <w:t>Declaration of compliance</w:t>
      </w:r>
      <w:r w:rsidR="00B740AD" w:rsidRPr="00B740AD">
        <w:rPr>
          <w:b/>
          <w:lang w:val="en-US"/>
        </w:rPr>
        <w:br/>
      </w:r>
      <w:r w:rsidRPr="00B740AD">
        <w:rPr>
          <w:b/>
          <w:lang w:val="en-US"/>
        </w:rPr>
        <w:t xml:space="preserve"> </w:t>
      </w:r>
      <w:r w:rsidRPr="00B740AD">
        <w:rPr>
          <w:b/>
          <w:sz w:val="28"/>
          <w:szCs w:val="28"/>
          <w:lang w:val="en-US"/>
        </w:rPr>
        <w:t xml:space="preserve">for materials made from plastic intended to come </w:t>
      </w:r>
      <w:r w:rsidR="00B740AD" w:rsidRPr="00B740AD">
        <w:rPr>
          <w:b/>
          <w:sz w:val="28"/>
          <w:szCs w:val="28"/>
          <w:lang w:val="en-US"/>
        </w:rPr>
        <w:br/>
      </w:r>
      <w:r w:rsidRPr="00B740AD">
        <w:rPr>
          <w:b/>
          <w:sz w:val="28"/>
          <w:szCs w:val="28"/>
          <w:lang w:val="en-US"/>
        </w:rPr>
        <w:t>into contact with food</w:t>
      </w:r>
    </w:p>
    <w:p w14:paraId="2D0046E1" w14:textId="321DBD83" w:rsidR="00FA5B80" w:rsidRPr="00967D09" w:rsidRDefault="0097004D">
      <w:pPr>
        <w:rPr>
          <w:b/>
          <w:bCs/>
          <w:lang w:val="de-DE"/>
        </w:rPr>
      </w:pPr>
      <w:r>
        <w:rPr>
          <w:lang w:val="en-US"/>
        </w:rPr>
        <w:t xml:space="preserve">Hereby we declare that </w:t>
      </w:r>
      <w:r w:rsidR="00FA5B80">
        <w:rPr>
          <w:lang w:val="en-US"/>
        </w:rPr>
        <w:t>product</w:t>
      </w:r>
      <w:r w:rsidR="000961E2">
        <w:rPr>
          <w:lang w:val="en-US"/>
        </w:rPr>
        <w:t xml:space="preserve"> non-stick</w:t>
      </w:r>
      <w:r w:rsidR="008E3114">
        <w:rPr>
          <w:lang w:val="en-US"/>
        </w:rPr>
        <w:t xml:space="preserve"> PTFE</w:t>
      </w:r>
      <w:r w:rsidR="000961E2">
        <w:rPr>
          <w:lang w:val="en-US"/>
        </w:rPr>
        <w:t xml:space="preserve"> baking mat</w:t>
      </w:r>
      <w:r w:rsidR="00E36618">
        <w:rPr>
          <w:lang w:val="en-US"/>
        </w:rPr>
        <w:t xml:space="preserve"> (AVA article 1 AAA 138)</w:t>
      </w:r>
      <w:r w:rsidR="000269A4">
        <w:rPr>
          <w:lang w:val="en-US"/>
        </w:rPr>
        <w:t xml:space="preserve"> complies</w:t>
      </w:r>
      <w:r w:rsidR="00FA5B80">
        <w:rPr>
          <w:lang w:val="en-US"/>
        </w:rPr>
        <w:t xml:space="preserve"> with the legal regulations laid down </w:t>
      </w:r>
      <w:r w:rsidR="000269A4">
        <w:rPr>
          <w:lang w:val="en-US"/>
        </w:rPr>
        <w:t xml:space="preserve">in </w:t>
      </w:r>
      <w:r w:rsidR="00FA5B80">
        <w:rPr>
          <w:lang w:val="en-US"/>
        </w:rPr>
        <w:t>Regulation</w:t>
      </w:r>
      <w:r w:rsidR="00EE492A">
        <w:rPr>
          <w:lang w:val="en-US"/>
        </w:rPr>
        <w:t>s</w:t>
      </w:r>
      <w:r w:rsidR="00FA5B80">
        <w:rPr>
          <w:lang w:val="en-US"/>
        </w:rPr>
        <w:t xml:space="preserve"> (EC) NO 1935/2004</w:t>
      </w:r>
      <w:r w:rsidR="002C30F8">
        <w:rPr>
          <w:lang w:val="en-US"/>
        </w:rPr>
        <w:t xml:space="preserve"> and</w:t>
      </w:r>
      <w:r w:rsidR="00EE492A">
        <w:rPr>
          <w:lang w:val="en-US"/>
        </w:rPr>
        <w:t xml:space="preserve"> </w:t>
      </w:r>
      <w:r w:rsidR="00BD6641">
        <w:rPr>
          <w:lang w:val="en-US"/>
        </w:rPr>
        <w:t>EC/NO 10/2011</w:t>
      </w:r>
      <w:r w:rsidR="000269A4">
        <w:rPr>
          <w:lang w:val="en-US"/>
        </w:rPr>
        <w:t xml:space="preserve">, </w:t>
      </w:r>
      <w:r w:rsidR="00BD6641">
        <w:rPr>
          <w:lang w:val="en-US"/>
        </w:rPr>
        <w:t>all</w:t>
      </w:r>
      <w:r w:rsidR="00FA5B80">
        <w:rPr>
          <w:lang w:val="en-US"/>
        </w:rPr>
        <w:t xml:space="preserve"> in their relevant versions.</w:t>
      </w:r>
    </w:p>
    <w:p w14:paraId="7EABF921" w14:textId="77777777" w:rsidR="000269A4" w:rsidRDefault="00FA5B80">
      <w:pPr>
        <w:rPr>
          <w:lang w:val="en-US"/>
        </w:rPr>
      </w:pPr>
      <w:r>
        <w:rPr>
          <w:lang w:val="en-US"/>
        </w:rPr>
        <w:t>When used as specified, the overall migration as well as the specific migration do not exceed the legal limits. The test was performed according</w:t>
      </w:r>
    </w:p>
    <w:p w14:paraId="26816D90" w14:textId="77777777" w:rsidR="00FA5B80" w:rsidRDefault="00FA5B80" w:rsidP="000269A4">
      <w:pPr>
        <w:pStyle w:val="ListParagraph"/>
        <w:numPr>
          <w:ilvl w:val="0"/>
          <w:numId w:val="4"/>
        </w:numPr>
        <w:rPr>
          <w:lang w:val="en-US"/>
        </w:rPr>
      </w:pPr>
      <w:r w:rsidRPr="000269A4">
        <w:rPr>
          <w:lang w:val="en-US"/>
        </w:rPr>
        <w:t xml:space="preserve"> the Directive 82/771/E</w:t>
      </w:r>
      <w:r w:rsidR="000269A4">
        <w:rPr>
          <w:lang w:val="en-US"/>
        </w:rPr>
        <w:t>WG</w:t>
      </w:r>
      <w:r w:rsidRPr="000269A4">
        <w:rPr>
          <w:lang w:val="en-US"/>
        </w:rPr>
        <w:t xml:space="preserve"> and 85/572/E</w:t>
      </w:r>
      <w:r w:rsidR="000269A4">
        <w:rPr>
          <w:lang w:val="en-US"/>
        </w:rPr>
        <w:t>WG</w:t>
      </w:r>
      <w:r w:rsidRPr="000269A4">
        <w:rPr>
          <w:lang w:val="en-US"/>
        </w:rPr>
        <w:t>.</w:t>
      </w:r>
      <w:r w:rsidR="000269A4">
        <w:rPr>
          <w:lang w:val="en-US"/>
        </w:rPr>
        <w:t xml:space="preserve"> (Until 31/12/2012)</w:t>
      </w:r>
    </w:p>
    <w:p w14:paraId="4E54E97B" w14:textId="77777777" w:rsidR="000269A4" w:rsidRDefault="000269A4" w:rsidP="000269A4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The Directive 82/711/EWD and 85/572/EWG or Art 17 and 18 of Regulation (EC) nr 10/2011 according to annex V (Until </w:t>
      </w:r>
      <w:r w:rsidR="007657BD">
        <w:rPr>
          <w:lang w:val="en-US"/>
        </w:rPr>
        <w:t>31/12/2015)</w:t>
      </w:r>
    </w:p>
    <w:p w14:paraId="2A8DE80E" w14:textId="77777777" w:rsidR="007657BD" w:rsidRPr="007657BD" w:rsidRDefault="007657BD" w:rsidP="007657BD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According to </w:t>
      </w:r>
      <w:r w:rsidRPr="007657BD">
        <w:rPr>
          <w:lang w:val="en-US"/>
        </w:rPr>
        <w:t>Art 17 and 18 of Regulation (EC) nr 10/2011 according to annex</w:t>
      </w:r>
      <w:r w:rsidR="002A4ED3">
        <w:rPr>
          <w:lang w:val="en-US"/>
        </w:rPr>
        <w:t xml:space="preserve"> IV and</w:t>
      </w:r>
      <w:r w:rsidRPr="007657BD">
        <w:rPr>
          <w:lang w:val="en-US"/>
        </w:rPr>
        <w:t xml:space="preserve"> V (</w:t>
      </w:r>
      <w:r w:rsidR="004F1F63">
        <w:rPr>
          <w:lang w:val="en-US"/>
        </w:rPr>
        <w:t>From</w:t>
      </w:r>
      <w:r w:rsidRPr="007657BD">
        <w:rPr>
          <w:lang w:val="en-US"/>
        </w:rPr>
        <w:t xml:space="preserve"> 31/12/2015)</w:t>
      </w:r>
    </w:p>
    <w:p w14:paraId="210C28CB" w14:textId="77777777" w:rsidR="007657BD" w:rsidRPr="000269A4" w:rsidRDefault="007657BD" w:rsidP="007657BD">
      <w:pPr>
        <w:pStyle w:val="ListParagraph"/>
        <w:rPr>
          <w:lang w:val="en-US"/>
        </w:rPr>
      </w:pPr>
    </w:p>
    <w:p w14:paraId="6A85C710" w14:textId="77777777" w:rsidR="007657BD" w:rsidRDefault="00FA5B80">
      <w:pPr>
        <w:rPr>
          <w:lang w:val="en-US"/>
        </w:rPr>
      </w:pPr>
      <w:r>
        <w:rPr>
          <w:lang w:val="en-US"/>
        </w:rPr>
        <w:t xml:space="preserve">The materials and raw materials used comply with </w:t>
      </w:r>
      <w:r w:rsidR="007657BD" w:rsidRPr="007657BD">
        <w:rPr>
          <w:lang w:val="en-US"/>
        </w:rPr>
        <w:t>Regulation (EC) nr 10/2011</w:t>
      </w:r>
      <w:r w:rsidR="007657BD">
        <w:rPr>
          <w:lang w:val="en-US"/>
        </w:rPr>
        <w:t>.</w:t>
      </w:r>
    </w:p>
    <w:p w14:paraId="2932B06B" w14:textId="77777777" w:rsidR="00FA5B80" w:rsidRDefault="00FA5B80">
      <w:pPr>
        <w:rPr>
          <w:lang w:val="en-US"/>
        </w:rPr>
      </w:pPr>
      <w:r>
        <w:rPr>
          <w:lang w:val="en-US"/>
        </w:rPr>
        <w:t>The following substances subject to limitations and/or specification are used in the product</w:t>
      </w:r>
      <w:r w:rsidR="0097004D">
        <w:rPr>
          <w:lang w:val="en-US"/>
        </w:rPr>
        <w:t xml:space="preserve"> delivered</w:t>
      </w:r>
      <w:r w:rsidR="00806306">
        <w:rPr>
          <w:lang w:val="en-US"/>
        </w:rPr>
        <w:t xml:space="preserve">, </w:t>
      </w:r>
      <w:r w:rsidR="00806306" w:rsidRPr="00806306">
        <w:rPr>
          <w:i/>
          <w:lang w:val="en-US"/>
        </w:rPr>
        <w:t>but don’t exceed the limitations during migration tests performed</w:t>
      </w:r>
      <w:r w:rsidR="00806306">
        <w:rPr>
          <w:lang w:val="en-US"/>
        </w:rPr>
        <w:t>:</w:t>
      </w:r>
      <w:r w:rsidR="0097004D">
        <w:rPr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520"/>
      </w:tblGrid>
      <w:tr w:rsidR="00FA5B80" w14:paraId="3A5F4F0F" w14:textId="77777777" w:rsidTr="00FA5B80">
        <w:tc>
          <w:tcPr>
            <w:tcW w:w="4606" w:type="dxa"/>
          </w:tcPr>
          <w:p w14:paraId="18A6B92A" w14:textId="7777777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Name of substance</w:t>
            </w:r>
          </w:p>
        </w:tc>
        <w:tc>
          <w:tcPr>
            <w:tcW w:w="4606" w:type="dxa"/>
          </w:tcPr>
          <w:p w14:paraId="4F1A2DE3" w14:textId="7777777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Limits</w:t>
            </w:r>
          </w:p>
        </w:tc>
      </w:tr>
      <w:tr w:rsidR="00FA5B80" w:rsidRPr="007D6876" w14:paraId="62897034" w14:textId="77777777" w:rsidTr="00FA5B80">
        <w:tc>
          <w:tcPr>
            <w:tcW w:w="4606" w:type="dxa"/>
          </w:tcPr>
          <w:p w14:paraId="7568B402" w14:textId="3241369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  <w:r w:rsidR="00B740AD">
              <w:rPr>
                <w:lang w:val="en-US"/>
              </w:rPr>
              <w:t xml:space="preserve">: </w:t>
            </w:r>
            <w:proofErr w:type="spellStart"/>
            <w:r w:rsidR="00B740AD">
              <w:rPr>
                <w:lang w:val="en-US"/>
              </w:rPr>
              <w:t>tetrafluor</w:t>
            </w:r>
            <w:r>
              <w:rPr>
                <w:lang w:val="en-US"/>
              </w:rPr>
              <w:t>ethylen</w:t>
            </w:r>
            <w:proofErr w:type="spellEnd"/>
          </w:p>
          <w:p w14:paraId="4CCEAE75" w14:textId="4B1BE652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 xml:space="preserve">CAS-No.: </w:t>
            </w:r>
            <w:r w:rsidR="00A9612C">
              <w:rPr>
                <w:lang w:val="en-US"/>
              </w:rPr>
              <w:t>116-12-4</w:t>
            </w:r>
          </w:p>
          <w:p w14:paraId="3007908D" w14:textId="77777777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>Name: Glass</w:t>
            </w:r>
            <w:r w:rsidR="007D6876">
              <w:rPr>
                <w:lang w:val="en-US"/>
              </w:rPr>
              <w:t xml:space="preserve"> </w:t>
            </w:r>
          </w:p>
          <w:p w14:paraId="2D414718" w14:textId="77777777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>CAS-No.: 65997-17-3</w:t>
            </w:r>
          </w:p>
        </w:tc>
        <w:tc>
          <w:tcPr>
            <w:tcW w:w="4606" w:type="dxa"/>
          </w:tcPr>
          <w:p w14:paraId="3C511D57" w14:textId="77777777" w:rsidR="00FA5B80" w:rsidRDefault="007D6876">
            <w:pPr>
              <w:rPr>
                <w:lang w:val="en-US"/>
              </w:rPr>
            </w:pPr>
            <w:r>
              <w:rPr>
                <w:lang w:val="en-US"/>
              </w:rPr>
              <w:t>SML= 0.05</w:t>
            </w:r>
            <w:r w:rsidR="00B740AD">
              <w:rPr>
                <w:lang w:val="en-US"/>
              </w:rPr>
              <w:t xml:space="preserve"> mg/kg</w:t>
            </w:r>
          </w:p>
          <w:p w14:paraId="0EDF603C" w14:textId="77777777" w:rsidR="007D6876" w:rsidRDefault="007D6876">
            <w:pPr>
              <w:rPr>
                <w:lang w:val="en-US"/>
              </w:rPr>
            </w:pPr>
          </w:p>
          <w:p w14:paraId="2A7B982B" w14:textId="77777777" w:rsidR="007D6876" w:rsidRDefault="007D6876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</w:tbl>
    <w:p w14:paraId="5C89E83B" w14:textId="77777777" w:rsidR="00370FEC" w:rsidRDefault="00370FEC">
      <w:pPr>
        <w:rPr>
          <w:i/>
          <w:lang w:val="en-US"/>
        </w:rPr>
      </w:pPr>
    </w:p>
    <w:p w14:paraId="4DA258C6" w14:textId="14A87FC0" w:rsidR="00806306" w:rsidRPr="005F7268" w:rsidRDefault="000A7863">
      <w:pPr>
        <w:rPr>
          <w:lang w:val="en-US" w:eastAsia="en-US"/>
        </w:rPr>
      </w:pPr>
      <w:r>
        <w:rPr>
          <w:i/>
          <w:lang w:val="en-US"/>
        </w:rPr>
        <w:t>Further we</w:t>
      </w:r>
      <w:r w:rsidR="00806306" w:rsidRPr="00806306">
        <w:rPr>
          <w:i/>
          <w:lang w:val="en-US"/>
        </w:rPr>
        <w:t xml:space="preserve"> confirm</w:t>
      </w:r>
      <w:r>
        <w:rPr>
          <w:i/>
          <w:lang w:val="en-US"/>
        </w:rPr>
        <w:t xml:space="preserve"> that</w:t>
      </w:r>
      <w:r w:rsidR="00806306" w:rsidRPr="00806306">
        <w:rPr>
          <w:i/>
          <w:lang w:val="en-US"/>
        </w:rPr>
        <w:t xml:space="preserve"> our products</w:t>
      </w:r>
      <w:r>
        <w:rPr>
          <w:i/>
          <w:lang w:val="en-US"/>
        </w:rPr>
        <w:t xml:space="preserve"> don’t contain any dual  use substances and</w:t>
      </w:r>
      <w:r w:rsidR="00806306" w:rsidRPr="00806306">
        <w:rPr>
          <w:i/>
          <w:lang w:val="en-US"/>
        </w:rPr>
        <w:t xml:space="preserve"> comply with regulations </w:t>
      </w:r>
      <w:r w:rsidR="005F7268">
        <w:rPr>
          <w:lang w:val="en-US" w:eastAsia="en-US"/>
        </w:rPr>
        <w:t>VO (EG) 1333/2008 and VO (EG) 1334/2008</w:t>
      </w:r>
    </w:p>
    <w:p w14:paraId="6834949F" w14:textId="77777777" w:rsidR="00B740AD" w:rsidRDefault="00B740AD">
      <w:pPr>
        <w:rPr>
          <w:lang w:val="en-US"/>
        </w:rPr>
      </w:pPr>
      <w:r>
        <w:rPr>
          <w:lang w:val="en-US"/>
        </w:rPr>
        <w:t>Specification of the intended use or limitations:</w:t>
      </w:r>
    </w:p>
    <w:p w14:paraId="443678CB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Type(s) of food intended to come into contact with the material: </w:t>
      </w:r>
    </w:p>
    <w:p w14:paraId="78C4E633" w14:textId="77777777" w:rsidR="007D6876" w:rsidRPr="007D6876" w:rsidRDefault="007657BD" w:rsidP="007657BD">
      <w:pPr>
        <w:pStyle w:val="ListParagraph"/>
        <w:numPr>
          <w:ilvl w:val="3"/>
          <w:numId w:val="2"/>
        </w:numPr>
        <w:rPr>
          <w:lang w:val="en-US"/>
        </w:rPr>
      </w:pPr>
      <w:r>
        <w:rPr>
          <w:lang w:val="en-US"/>
        </w:rPr>
        <w:t>All types of food</w:t>
      </w:r>
    </w:p>
    <w:p w14:paraId="34C0264B" w14:textId="77777777" w:rsidR="007657BD" w:rsidRDefault="007D6876" w:rsidP="007657B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Types of food not in</w:t>
      </w:r>
      <w:r w:rsidR="007657BD">
        <w:rPr>
          <w:lang w:val="en-US"/>
        </w:rPr>
        <w:t>tended to come in contact:</w:t>
      </w:r>
    </w:p>
    <w:p w14:paraId="4A89D726" w14:textId="77777777" w:rsidR="007D6876" w:rsidRPr="007657BD" w:rsidRDefault="007657BD" w:rsidP="007657BD">
      <w:pPr>
        <w:pStyle w:val="ListParagraph"/>
        <w:numPr>
          <w:ilvl w:val="3"/>
          <w:numId w:val="2"/>
        </w:numPr>
        <w:rPr>
          <w:lang w:val="en-US"/>
        </w:rPr>
      </w:pPr>
      <w:r w:rsidRPr="007657BD">
        <w:rPr>
          <w:lang w:val="en-US"/>
        </w:rPr>
        <w:t xml:space="preserve"> none</w:t>
      </w:r>
    </w:p>
    <w:p w14:paraId="250FA6B8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Duration and temperature of treatment and storage while in contact with the food: </w:t>
      </w:r>
    </w:p>
    <w:p w14:paraId="647BB97B" w14:textId="54FF9D89" w:rsidR="00806306" w:rsidRPr="00806306" w:rsidRDefault="00052901" w:rsidP="00806306">
      <w:pPr>
        <w:pStyle w:val="ListParagraph"/>
        <w:numPr>
          <w:ilvl w:val="3"/>
          <w:numId w:val="2"/>
        </w:numPr>
        <w:rPr>
          <w:i/>
          <w:lang w:val="en-US"/>
        </w:rPr>
      </w:pPr>
      <w:r>
        <w:rPr>
          <w:i/>
          <w:lang w:val="en-US"/>
        </w:rPr>
        <w:t xml:space="preserve"> </w:t>
      </w:r>
      <w:r w:rsidR="00370FEC">
        <w:rPr>
          <w:i/>
          <w:lang w:val="en-US"/>
        </w:rPr>
        <w:t>Max 26</w:t>
      </w:r>
      <w:r>
        <w:rPr>
          <w:i/>
          <w:lang w:val="en-US"/>
        </w:rPr>
        <w:t>0</w:t>
      </w:r>
      <w:r w:rsidR="000A7863">
        <w:rPr>
          <w:i/>
          <w:lang w:val="en-US"/>
        </w:rPr>
        <w:t>°C  for</w:t>
      </w:r>
      <w:r w:rsidR="00B02A2C">
        <w:rPr>
          <w:i/>
          <w:lang w:val="en-US"/>
        </w:rPr>
        <w:t xml:space="preserve"> </w:t>
      </w:r>
      <w:r w:rsidR="00370FEC">
        <w:rPr>
          <w:i/>
          <w:lang w:val="en-US"/>
        </w:rPr>
        <w:t>unlimited time</w:t>
      </w:r>
    </w:p>
    <w:p w14:paraId="79879F50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Ratio of the area of the food contact material to the volume used to determine the compliance of the plastic food contact material or article:</w:t>
      </w:r>
    </w:p>
    <w:p w14:paraId="62F7B506" w14:textId="2F515AF3" w:rsidR="00B740AD" w:rsidRDefault="00B740AD" w:rsidP="007657BD">
      <w:pPr>
        <w:pStyle w:val="ListParagraph"/>
        <w:numPr>
          <w:ilvl w:val="3"/>
          <w:numId w:val="2"/>
        </w:numPr>
        <w:rPr>
          <w:lang w:val="en-US"/>
        </w:rPr>
      </w:pPr>
      <w:r>
        <w:rPr>
          <w:lang w:val="en-US"/>
        </w:rPr>
        <w:t>6 dm²/L</w:t>
      </w:r>
      <w:r w:rsidR="00D96589">
        <w:rPr>
          <w:lang w:val="en-US"/>
        </w:rPr>
        <w:t xml:space="preserve"> </w:t>
      </w:r>
    </w:p>
    <w:p w14:paraId="53E895D9" w14:textId="77777777" w:rsidR="00996292" w:rsidRDefault="00996292" w:rsidP="00996292">
      <w:pPr>
        <w:pStyle w:val="ListParagraph"/>
        <w:ind w:left="2490"/>
        <w:rPr>
          <w:lang w:val="en-US"/>
        </w:rPr>
      </w:pPr>
    </w:p>
    <w:p w14:paraId="1CC98A8A" w14:textId="77777777" w:rsidR="00996292" w:rsidRDefault="00996292" w:rsidP="00996292">
      <w:pPr>
        <w:pStyle w:val="ListParagraph"/>
        <w:ind w:left="2490"/>
        <w:rPr>
          <w:lang w:val="en-US"/>
        </w:rPr>
      </w:pPr>
    </w:p>
    <w:p w14:paraId="7AD48867" w14:textId="77777777" w:rsidR="00B740AD" w:rsidRPr="00B740AD" w:rsidRDefault="00B740AD" w:rsidP="00B740AD">
      <w:pPr>
        <w:pStyle w:val="ListParagraph"/>
        <w:spacing w:after="240"/>
        <w:ind w:left="0"/>
        <w:rPr>
          <w:lang w:val="en-US"/>
        </w:rPr>
      </w:pPr>
    </w:p>
    <w:p w14:paraId="4681C111" w14:textId="77777777" w:rsidR="00B740AD" w:rsidRDefault="00996292" w:rsidP="00996292">
      <w:pPr>
        <w:pStyle w:val="ListParagraph"/>
        <w:ind w:left="0"/>
        <w:rPr>
          <w:lang w:val="en-US"/>
        </w:rPr>
      </w:pPr>
      <w:r>
        <w:rPr>
          <w:lang w:val="en-US"/>
        </w:rPr>
        <w:t xml:space="preserve">If a functional barrier made from plastic is used in the above mentioned product, we confirm the compliance with the special stipulations of </w:t>
      </w:r>
      <w:r w:rsidR="007657BD" w:rsidRPr="007657BD">
        <w:rPr>
          <w:lang w:val="en-US"/>
        </w:rPr>
        <w:t>Regulation (EC) nr 10/2011</w:t>
      </w:r>
      <w:r w:rsidR="007657BD">
        <w:rPr>
          <w:lang w:val="en-US"/>
        </w:rPr>
        <w:t>.</w:t>
      </w:r>
    </w:p>
    <w:p w14:paraId="7AD88782" w14:textId="77777777" w:rsidR="00996292" w:rsidRDefault="00996292" w:rsidP="00996292">
      <w:pPr>
        <w:pStyle w:val="ListParagraph"/>
        <w:ind w:left="0"/>
        <w:rPr>
          <w:lang w:val="en-US"/>
        </w:rPr>
      </w:pPr>
    </w:p>
    <w:p w14:paraId="5FD37A5D" w14:textId="6ADD222B" w:rsidR="00996292" w:rsidRPr="005F7268" w:rsidRDefault="005F7268" w:rsidP="005F7268">
      <w:pPr>
        <w:autoSpaceDE w:val="0"/>
        <w:autoSpaceDN w:val="0"/>
        <w:adjustRightInd w:val="0"/>
        <w:spacing w:after="0" w:line="240" w:lineRule="auto"/>
        <w:rPr>
          <w:lang w:val="en-US"/>
        </w:rPr>
      </w:pPr>
      <w:r w:rsidRPr="005F7268">
        <w:rPr>
          <w:lang w:val="en-US"/>
        </w:rPr>
        <w:t xml:space="preserve">The manufacture of </w:t>
      </w:r>
      <w:r w:rsidR="008E3114">
        <w:rPr>
          <w:lang w:val="en-US"/>
        </w:rPr>
        <w:t>PTFE baking mats</w:t>
      </w:r>
      <w:r w:rsidRPr="005F7268">
        <w:rPr>
          <w:lang w:val="en-US"/>
        </w:rPr>
        <w:t xml:space="preserve"> and other articles by ICB nv comply</w:t>
      </w:r>
      <w:r>
        <w:rPr>
          <w:lang w:val="en-US"/>
        </w:rPr>
        <w:t xml:space="preserve"> </w:t>
      </w:r>
      <w:r w:rsidRPr="005F7268">
        <w:rPr>
          <w:lang w:val="en-US"/>
        </w:rPr>
        <w:t>with EU Regulation 2023/2006. This regulation stipulates good manufacturing practices.</w:t>
      </w:r>
    </w:p>
    <w:p w14:paraId="1FD71B9D" w14:textId="77777777" w:rsidR="005F7268" w:rsidRPr="004531DB" w:rsidRDefault="005F7268" w:rsidP="00996292">
      <w:pPr>
        <w:pStyle w:val="ListParagraph"/>
        <w:ind w:left="0"/>
        <w:rPr>
          <w:lang w:val="en-GB"/>
        </w:rPr>
      </w:pPr>
    </w:p>
    <w:p w14:paraId="1D1060AA" w14:textId="238D1200" w:rsidR="000961E2" w:rsidRDefault="00996292" w:rsidP="00996292">
      <w:pPr>
        <w:pStyle w:val="ListParagraph"/>
        <w:ind w:left="0"/>
        <w:rPr>
          <w:lang w:val="en-GB"/>
        </w:rPr>
      </w:pPr>
      <w:r w:rsidRPr="004531DB">
        <w:rPr>
          <w:lang w:val="en-GB"/>
        </w:rPr>
        <w:t>Veerle-</w:t>
      </w:r>
      <w:proofErr w:type="spellStart"/>
      <w:r w:rsidRPr="004531DB">
        <w:rPr>
          <w:lang w:val="en-GB"/>
        </w:rPr>
        <w:t>Laakdal</w:t>
      </w:r>
      <w:proofErr w:type="spellEnd"/>
      <w:r w:rsidRPr="004531DB">
        <w:rPr>
          <w:lang w:val="en-GB"/>
        </w:rPr>
        <w:t xml:space="preserve">, </w:t>
      </w:r>
      <w:r w:rsidR="009C3F0E" w:rsidRPr="004531DB">
        <w:rPr>
          <w:lang w:val="en-GB"/>
        </w:rPr>
        <w:t xml:space="preserve"> </w:t>
      </w:r>
      <w:r w:rsidR="00E36618">
        <w:rPr>
          <w:lang w:val="en-GB"/>
        </w:rPr>
        <w:t>22122025</w:t>
      </w:r>
    </w:p>
    <w:p w14:paraId="4C335824" w14:textId="77777777" w:rsidR="00194287" w:rsidRPr="004531DB" w:rsidRDefault="00194287" w:rsidP="00996292">
      <w:pPr>
        <w:pStyle w:val="ListParagraph"/>
        <w:ind w:left="0"/>
        <w:rPr>
          <w:lang w:val="en-GB"/>
        </w:rPr>
      </w:pPr>
    </w:p>
    <w:p w14:paraId="54F77696" w14:textId="77777777" w:rsidR="00996292" w:rsidRPr="004531DB" w:rsidRDefault="00996292" w:rsidP="00996292">
      <w:pPr>
        <w:pStyle w:val="ListParagraph"/>
        <w:ind w:left="0"/>
        <w:rPr>
          <w:lang w:val="en-GB"/>
        </w:rPr>
      </w:pPr>
    </w:p>
    <w:p w14:paraId="348D2EE3" w14:textId="77777777" w:rsidR="00996292" w:rsidRPr="004531DB" w:rsidRDefault="00996292" w:rsidP="00996292">
      <w:pPr>
        <w:pStyle w:val="ListParagraph"/>
        <w:ind w:left="0"/>
        <w:rPr>
          <w:lang w:val="en-GB"/>
        </w:rPr>
      </w:pPr>
    </w:p>
    <w:p w14:paraId="274C7E80" w14:textId="77777777" w:rsidR="00A03F08" w:rsidRPr="004531DB" w:rsidRDefault="00A03F08" w:rsidP="00996292">
      <w:pPr>
        <w:pStyle w:val="ListParagraph"/>
        <w:ind w:left="0"/>
        <w:rPr>
          <w:lang w:val="en-GB"/>
        </w:rPr>
      </w:pPr>
    </w:p>
    <w:p w14:paraId="3C9DCBA4" w14:textId="1AA74783" w:rsidR="00996292" w:rsidRPr="004531DB" w:rsidRDefault="009C3F0E" w:rsidP="00996292">
      <w:pPr>
        <w:pStyle w:val="ListParagraph"/>
        <w:ind w:left="0"/>
        <w:rPr>
          <w:lang w:val="en-GB"/>
        </w:rPr>
      </w:pPr>
      <w:r w:rsidRPr="004531DB">
        <w:rPr>
          <w:lang w:val="en-GB"/>
        </w:rPr>
        <w:t xml:space="preserve">Jeroen Bergen </w:t>
      </w:r>
    </w:p>
    <w:p w14:paraId="0C9A35F0" w14:textId="03DF12A4" w:rsidR="00996292" w:rsidRPr="004531DB" w:rsidRDefault="00967D09" w:rsidP="00996292">
      <w:pPr>
        <w:pStyle w:val="ListParagraph"/>
        <w:ind w:left="0"/>
        <w:rPr>
          <w:lang w:val="en-GB"/>
        </w:rPr>
      </w:pPr>
      <w:r>
        <w:rPr>
          <w:lang w:val="en-GB"/>
        </w:rPr>
        <w:t xml:space="preserve">Delegated Director of the Board </w:t>
      </w:r>
    </w:p>
    <w:p w14:paraId="1313E61F" w14:textId="77777777" w:rsidR="00B740AD" w:rsidRPr="004531DB" w:rsidRDefault="00B740AD" w:rsidP="00B740AD">
      <w:pPr>
        <w:pStyle w:val="ListParagraph"/>
        <w:ind w:left="2490"/>
        <w:rPr>
          <w:lang w:val="en-GB"/>
        </w:rPr>
      </w:pPr>
    </w:p>
    <w:p w14:paraId="7D6FF3FF" w14:textId="77777777" w:rsidR="00BF079C" w:rsidRPr="004531DB" w:rsidRDefault="00BF079C" w:rsidP="00BF079C">
      <w:pPr>
        <w:pStyle w:val="ListParagraph"/>
        <w:ind w:left="0"/>
        <w:rPr>
          <w:lang w:val="en-GB"/>
        </w:rPr>
      </w:pPr>
    </w:p>
    <w:p w14:paraId="4AF07B71" w14:textId="77777777" w:rsidR="00BF079C" w:rsidRPr="004531DB" w:rsidRDefault="00BF079C" w:rsidP="00BF079C">
      <w:pPr>
        <w:pStyle w:val="ListParagraph"/>
        <w:ind w:left="0"/>
        <w:rPr>
          <w:lang w:val="en-GB"/>
        </w:rPr>
      </w:pPr>
    </w:p>
    <w:sectPr w:rsidR="00BF079C" w:rsidRPr="004531DB" w:rsidSect="00591F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D540C"/>
    <w:multiLevelType w:val="hybridMultilevel"/>
    <w:tmpl w:val="209C8404"/>
    <w:lvl w:ilvl="0" w:tplc="EFBC826A">
      <w:numFmt w:val="bullet"/>
      <w:lvlText w:val=""/>
      <w:lvlJc w:val="left"/>
      <w:pPr>
        <w:ind w:left="249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13E61342"/>
    <w:multiLevelType w:val="hybridMultilevel"/>
    <w:tmpl w:val="0FAC9E0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A6F0F"/>
    <w:multiLevelType w:val="hybridMultilevel"/>
    <w:tmpl w:val="08785942"/>
    <w:lvl w:ilvl="0" w:tplc="A788AFA0">
      <w:numFmt w:val="bullet"/>
      <w:lvlText w:val=""/>
      <w:lvlJc w:val="left"/>
      <w:pPr>
        <w:ind w:left="249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3" w15:restartNumberingAfterBreak="0">
    <w:nsid w:val="56BE09FA"/>
    <w:multiLevelType w:val="hybridMultilevel"/>
    <w:tmpl w:val="1CB4A33A"/>
    <w:lvl w:ilvl="0" w:tplc="08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41D2D"/>
    <w:multiLevelType w:val="hybridMultilevel"/>
    <w:tmpl w:val="A05461FE"/>
    <w:lvl w:ilvl="0" w:tplc="37564C9E"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6F753F4"/>
    <w:multiLevelType w:val="hybridMultilevel"/>
    <w:tmpl w:val="F8FA37B4"/>
    <w:lvl w:ilvl="0" w:tplc="9920091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973946">
    <w:abstractNumId w:val="1"/>
  </w:num>
  <w:num w:numId="2" w16cid:durableId="11036294">
    <w:abstractNumId w:val="3"/>
  </w:num>
  <w:num w:numId="3" w16cid:durableId="1652758606">
    <w:abstractNumId w:val="0"/>
  </w:num>
  <w:num w:numId="4" w16cid:durableId="1652323852">
    <w:abstractNumId w:val="5"/>
  </w:num>
  <w:num w:numId="5" w16cid:durableId="2114936342">
    <w:abstractNumId w:val="4"/>
  </w:num>
  <w:num w:numId="6" w16cid:durableId="2005275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B80"/>
    <w:rsid w:val="000269A4"/>
    <w:rsid w:val="00052901"/>
    <w:rsid w:val="000961E2"/>
    <w:rsid w:val="000A7863"/>
    <w:rsid w:val="00194287"/>
    <w:rsid w:val="001E450E"/>
    <w:rsid w:val="001F0FE9"/>
    <w:rsid w:val="002A4ED3"/>
    <w:rsid w:val="002C30F8"/>
    <w:rsid w:val="00370921"/>
    <w:rsid w:val="00370FEC"/>
    <w:rsid w:val="003B5B74"/>
    <w:rsid w:val="003C473C"/>
    <w:rsid w:val="004531DB"/>
    <w:rsid w:val="004F1F63"/>
    <w:rsid w:val="00591F39"/>
    <w:rsid w:val="005F7268"/>
    <w:rsid w:val="006C0679"/>
    <w:rsid w:val="0073698B"/>
    <w:rsid w:val="0076125D"/>
    <w:rsid w:val="007657BD"/>
    <w:rsid w:val="00770857"/>
    <w:rsid w:val="007D6876"/>
    <w:rsid w:val="00806306"/>
    <w:rsid w:val="00825B9A"/>
    <w:rsid w:val="008C1331"/>
    <w:rsid w:val="008E3114"/>
    <w:rsid w:val="00942867"/>
    <w:rsid w:val="00967D09"/>
    <w:rsid w:val="0097004D"/>
    <w:rsid w:val="00996292"/>
    <w:rsid w:val="009B6291"/>
    <w:rsid w:val="009C3F0E"/>
    <w:rsid w:val="00A0009F"/>
    <w:rsid w:val="00A0207B"/>
    <w:rsid w:val="00A03F08"/>
    <w:rsid w:val="00A81323"/>
    <w:rsid w:val="00A95C8D"/>
    <w:rsid w:val="00A9612C"/>
    <w:rsid w:val="00AB3844"/>
    <w:rsid w:val="00AD2EE6"/>
    <w:rsid w:val="00B02A2C"/>
    <w:rsid w:val="00B740AD"/>
    <w:rsid w:val="00BB1755"/>
    <w:rsid w:val="00BD6641"/>
    <w:rsid w:val="00BF079C"/>
    <w:rsid w:val="00C16F80"/>
    <w:rsid w:val="00C40313"/>
    <w:rsid w:val="00CE56AD"/>
    <w:rsid w:val="00D96589"/>
    <w:rsid w:val="00E36618"/>
    <w:rsid w:val="00EE492A"/>
    <w:rsid w:val="00EF6959"/>
    <w:rsid w:val="00F101DB"/>
    <w:rsid w:val="00F51EF1"/>
    <w:rsid w:val="00FA095B"/>
    <w:rsid w:val="00FA5B80"/>
    <w:rsid w:val="00FE34A5"/>
    <w:rsid w:val="00FF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DB90E"/>
  <w15:docId w15:val="{6DDBC3C8-3E97-4A03-9A3E-07B5E4CF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40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0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7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335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donnam</dc:creator>
  <cp:lastModifiedBy>Jeroen Bergen</cp:lastModifiedBy>
  <cp:revision>2</cp:revision>
  <cp:lastPrinted>2022-09-22T13:46:00Z</cp:lastPrinted>
  <dcterms:created xsi:type="dcterms:W3CDTF">2025-12-22T15:29:00Z</dcterms:created>
  <dcterms:modified xsi:type="dcterms:W3CDTF">2025-12-22T15:29:00Z</dcterms:modified>
</cp:coreProperties>
</file>